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A9" w:rsidRPr="00BB4AA9" w:rsidRDefault="00BB4AA9" w:rsidP="00BB4AA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B4AA9">
        <w:rPr>
          <w:rFonts w:ascii="方正小标宋简体" w:eastAsia="方正小标宋简体" w:hint="eastAsia"/>
          <w:b/>
          <w:bCs/>
          <w:sz w:val="44"/>
          <w:szCs w:val="44"/>
        </w:rPr>
        <w:t>行政复议相关知识</w:t>
      </w:r>
    </w:p>
    <w:p w:rsidR="00BB4AA9" w:rsidRDefault="00BB4AA9" w:rsidP="00BB4AA9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1、什么是行政复议？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所谓行政复议，是指行政相对人认为行政机关的具体行政行为（具体的行政执法活动）侵犯其合法权益时，依法请求上一级行政机关对该具体行政行为的合法性、适当性进行全面审查的一项制度。行政复议既是维护人民群众合法</w:t>
      </w:r>
      <w:bookmarkStart w:id="0" w:name="_GoBack"/>
      <w:bookmarkEnd w:id="0"/>
      <w:r w:rsidRPr="00BB4AA9">
        <w:rPr>
          <w:rFonts w:ascii="仿宋_GB2312" w:eastAsia="仿宋_GB2312" w:hint="eastAsia"/>
          <w:sz w:val="32"/>
          <w:szCs w:val="32"/>
        </w:rPr>
        <w:t>权益的重要救济途径，也是行政机关内部重要的层级监督制度，是有效化解行政争议、监督依法行政的重要渠道。行政复议制度与行政诉讼制度一起构成了通常所称的两大“民告官”制度。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2、行政复议有什么特点？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行政复议与行政诉讼相比，有以下几个特点：(1)受理范围广。凡是行政管理相对人认为行政机关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的具体行政行为侵犯其合法权益（不仅包括人身权、财产权，也包括劳动权、休息权、政治自由权等权益）的，都可以申请行政复议。（2）审查范围广。行政复议不仅审查具体行政行为的合法性，还要审查合理性和适当性，是一种全面的监督审查制度，充分保障当事人得到全面的救济。而行政诉讼实行有限司法变更原则，除了对显失公正的行政处罚拥有司法变更权外，对其他的具体行政行为仅仅审查合法性。（3）成本低廉、快捷高效。行政复议活动所需经费，由财政</w:t>
      </w:r>
      <w:r w:rsidRPr="00BB4AA9">
        <w:rPr>
          <w:rFonts w:ascii="仿宋_GB2312" w:eastAsia="仿宋_GB2312" w:hint="eastAsia"/>
          <w:sz w:val="32"/>
          <w:szCs w:val="32"/>
        </w:rPr>
        <w:lastRenderedPageBreak/>
        <w:t>予以保障，不向申请人收取申请费等任何费用；行政复议审理时间一般为60日，情况复杂的，延长期限最多不超过30日。（4）审理方式灵活多样。行政复议一般以书面审查为主，必要时，也可以采取听证的方式审理；在行政复议过程中，对于涉及自由裁量权行使的案件、行政赔偿和行政补偿等案件，还可以采用法定的调解方式结案。 另外，行政复议与信访工作相比，是一种具有强制执行力的、有严格程序保证的刚性法定救济制度。行政复议受理、审理均有法定的程序，申请人不履行行政复议决定的，要依法进行强制执行，被申请人不履行行政复议决定的，要依法追究行政责任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3、行政复议活动有哪些法律依据？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1999年10月1日施行的《中华人民共和国行政复议法》以及2007年8月1日施行的《中华人民共和国行政复议法实施条例》是行政复议机关开展行政复议活动的主要依据，也是行政相对人的合法权益受到侵害时寻求保护和救济的法律武器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4、对行政机关的哪些行为可以申请行政复议？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简单地说，凡是行政机关针对具体的公民、法人或者其他组织（行政管理相对人）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的行政执法行为，只要你认为该行为损害了你的合法权益，都可以申请行政复议，包括行政处罚、行政许可、行政收费、资源确权、违法要求履行义务等各种行为。</w:t>
      </w:r>
      <w:r w:rsidRPr="00BB4AA9">
        <w:rPr>
          <w:rFonts w:ascii="仿宋_GB2312" w:eastAsia="仿宋_GB2312" w:hint="eastAsia"/>
          <w:sz w:val="32"/>
          <w:szCs w:val="32"/>
        </w:rPr>
        <w:br/>
      </w:r>
      <w:r w:rsidRPr="00BB4AA9">
        <w:rPr>
          <w:rFonts w:ascii="仿宋_GB2312" w:eastAsia="仿宋_GB2312" w:hint="eastAsia"/>
          <w:sz w:val="32"/>
          <w:szCs w:val="32"/>
        </w:rPr>
        <w:lastRenderedPageBreak/>
        <w:t>另外，对于行政机关依法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该作为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而不作为的情形，也可申请行政复议，如不依法办理证照、不审批、不登记、不履行保护人身权、财产权、受教育权的法定职责以及不依法发放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“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三金“（抚恤金、社会保险金、最低生活保障金）等等。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5、对“红头文件”是否可以提起行政复议？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通常所说的“红头文件”是指，行政机关为了实施管理，根据法律法规针对所有管理对象或者某类管理对象（不是针对具体对象）而制定的具有普遍约束力的规范性文件，是行政机关开展执法活动的重要依据。“红头文件”不能单独提起行政复议申请，但行政相对人对行政机关的行政执法行为不服申请行政复议的同时，如果认为该行政执法行为所依据的"红头文件"违法，可以一并向接受复议的行政机关提起合法性审查。这些可以一并提请审查的"红头文件"包括：（1）国务院各部门的“红头文件”；（2）县级以上地方各级人民政府及其部门的“红头文件”；（3）乡、镇人民政府的“红头文件”。法律、法规、规章以及国务院的文件不能一并提起复议审查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6、行政复议申请有无时效限制？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有时效限制。行政相对人应当在知道某一具体行政行为之日起60日（法律规定申请期限超过60日的，依照法律规定）内提出行政复议申请，否则将不予受理。若因不可抗力或其他正当理</w:t>
      </w:r>
      <w:r w:rsidRPr="00BB4AA9">
        <w:rPr>
          <w:rFonts w:ascii="仿宋_GB2312" w:eastAsia="仿宋_GB2312" w:hint="eastAsia"/>
          <w:sz w:val="32"/>
          <w:szCs w:val="32"/>
        </w:rPr>
        <w:lastRenderedPageBreak/>
        <w:t>由耽误了申请期限的，应当提供相关证据材料证明。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7、申请人数众多时，如何申请行政复议？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行政复议申请超过5人的，应当递交行政复议代表推选书，推选1至5名复议代表参加行政复议，以便于复议审理。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8、如何书写行政复议申请书？</w:t>
      </w:r>
      <w:r w:rsidRPr="00BB4AA9">
        <w:rPr>
          <w:rFonts w:ascii="仿宋_GB2312" w:eastAsia="仿宋_GB2312" w:hint="eastAsia"/>
          <w:sz w:val="32"/>
          <w:szCs w:val="32"/>
        </w:rPr>
        <w:t> 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行政复议申请书应当包括以下几方面的内容：（1）申请人的基本情况；（2）明确的被申请人（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具体行政行为的行政机关）；（3）明确的复议请求（如请求撤销；请求变更或请求确认违法；责令履行等）；（4）复议事实和理由；（5）明确的行政复议机关；（6）申请人签名或盖章；（7）申请日期。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9、能否口头申请行政复议？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可以。申请人口头申请复议的，由复议机关工作人员当场制作行政复议申请笔录，交申请人核对或宣读后，由申请人签字确认。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10、申请行政复议需要递交哪些材料？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申请行政复议一般需要递交下列材料：（1）由申请人签名或盖章的行政复议申请书一式两份或三份（有第三人时）；（2）申请人的身份证明（如身份证或企业法人营业执照）；（3）具体行政行为的法律文书（如行政处罚决定书、房屋拆迁许可证等）；（4）与具体行政行为存在利害关系的证明材料（如对房屋拆迁</w:t>
      </w:r>
      <w:r w:rsidRPr="00BB4AA9">
        <w:rPr>
          <w:rFonts w:ascii="仿宋_GB2312" w:eastAsia="仿宋_GB2312" w:hint="eastAsia"/>
          <w:sz w:val="32"/>
          <w:szCs w:val="32"/>
        </w:rPr>
        <w:lastRenderedPageBreak/>
        <w:t>许可证申请复议时，需递交房屋权属材料，以证明存在利害关系）；（5）其他证据材料（要求递交原件核对，不能递交原件的，要注明出处）；（6）要求赔偿的，需递交损失证明材料。 行政复议申请材料不齐全或表述不清的，行政复议机构可以在5日内要求限期补正。无正当理由逾期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补正的，视为放弃行政复议申请。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11、能否委托代理人申请行政复议？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可以。但要向行政复议机关递交授权委托书，写明具体的委托权限。提起复议申请、撤回复议申请、变更复议请求、进行调解等，需要申请人的特别授权。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12、如何确定向哪个行政复议机关提起复议？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一般情况，行政复议机关有两个，行政相对人既可以选择向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具体行政行为的行政机关的上一级主管部门申请复议，也可以选择该行政机关的同级人民政府申请复议。如不服市国土局的行政处罚决定，既可以向省国土资源厅提出复议申请，也可以向市政府提出复议申请。同时向两个复议机关提出申请的，由最先收到的有管辖权的行政复议机关受理。</w:t>
      </w:r>
      <w:r w:rsidRPr="00BB4AA9">
        <w:rPr>
          <w:rFonts w:ascii="仿宋_GB2312" w:eastAsia="仿宋_GB2312" w:hint="eastAsia"/>
          <w:sz w:val="32"/>
          <w:szCs w:val="32"/>
        </w:rPr>
        <w:t> </w:t>
      </w:r>
      <w:r w:rsidRPr="00BB4AA9">
        <w:rPr>
          <w:rFonts w:ascii="仿宋_GB2312" w:eastAsia="仿宋_GB2312" w:hint="eastAsia"/>
          <w:sz w:val="32"/>
          <w:szCs w:val="32"/>
        </w:rPr>
        <w:t>如果不清楚该向哪个复议机关提出申请时，可以向具体行政行为发生地的县级人民政府提出复议申请，由其负责转送有权处理的行政复议机关处理。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13、申请人如何选择行政复议或行政诉讼？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一般情况，申请人既可以选择在60日内提出行政复议，对</w:t>
      </w:r>
      <w:r w:rsidRPr="00BB4AA9">
        <w:rPr>
          <w:rFonts w:ascii="仿宋_GB2312" w:eastAsia="仿宋_GB2312" w:hint="eastAsia"/>
          <w:sz w:val="32"/>
          <w:szCs w:val="32"/>
        </w:rPr>
        <w:lastRenderedPageBreak/>
        <w:t>行政复议决定仍不服的，再在15天内依法向法院提起行政诉讼；也可以选择在3个月内直接向法院提起行政诉讼。法律、法规规定复议前置的，应当先申请复议，再提起行政诉讼。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14、行政复议机关如何审理行政复议案件？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一般以书面审理为主。行政复议机关认为有必要时，可以实地调查核实证据，也可以采取听证的方式进行审理。涉及自由裁量权行使的案件以及行政赔偿、行政补偿等案件，可以通过行政复议调解的方式，促使争议双方达成和解协议或调解协议，以彻底化解矛盾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15、行政复议机关如何</w:t>
      </w:r>
      <w:proofErr w:type="gramStart"/>
      <w:r w:rsidRPr="00BB4AA9">
        <w:rPr>
          <w:rFonts w:ascii="仿宋_GB2312" w:eastAsia="仿宋_GB2312" w:hint="eastAsia"/>
          <w:b/>
          <w:bCs/>
          <w:sz w:val="32"/>
          <w:szCs w:val="32"/>
        </w:rPr>
        <w:t>作出</w:t>
      </w:r>
      <w:proofErr w:type="gramEnd"/>
      <w:r w:rsidRPr="00BB4AA9">
        <w:rPr>
          <w:rFonts w:ascii="仿宋_GB2312" w:eastAsia="仿宋_GB2312" w:hint="eastAsia"/>
          <w:b/>
          <w:bCs/>
          <w:sz w:val="32"/>
          <w:szCs w:val="32"/>
        </w:rPr>
        <w:t>行政复议决定？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一般情况下，行政复议机关应当在受理之日起60日内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书面的行政复议决定，法律规定审理期限少于60日的，依照法律规定。情况复杂的，经批准，最多可以延长30日。行政复议决定种类有维持、撤销、变更、确认违法、责令履行、驳回等。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16、申请人在复议过程中主要有哪些权利？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（1）按规定查阅被申请人提出的书面答复和证据、依据材料的权利；（2）委托代理人代为参加行政复议的权利；（3）提供证据材料的权利；（4）陈述、申辩、质疑、反驳的权利；（5）自愿撤回行政复议申请的权利；（6）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依法和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被申请人进行和解的权利；（7）对行政复议决定不服，依法提起行政诉讼的权利。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lastRenderedPageBreak/>
        <w:t>17、行政复议机关逾期不</w:t>
      </w:r>
      <w:proofErr w:type="gramStart"/>
      <w:r w:rsidRPr="00BB4AA9">
        <w:rPr>
          <w:rFonts w:ascii="仿宋_GB2312" w:eastAsia="仿宋_GB2312" w:hint="eastAsia"/>
          <w:b/>
          <w:bCs/>
          <w:sz w:val="32"/>
          <w:szCs w:val="32"/>
        </w:rPr>
        <w:t>作出</w:t>
      </w:r>
      <w:proofErr w:type="gramEnd"/>
      <w:r w:rsidRPr="00BB4AA9">
        <w:rPr>
          <w:rFonts w:ascii="仿宋_GB2312" w:eastAsia="仿宋_GB2312" w:hint="eastAsia"/>
          <w:b/>
          <w:bCs/>
          <w:sz w:val="32"/>
          <w:szCs w:val="32"/>
        </w:rPr>
        <w:t>行政复议决定的，怎么办？</w:t>
      </w:r>
    </w:p>
    <w:p w:rsidR="00BB4AA9" w:rsidRPr="00BB4AA9" w:rsidRDefault="00BB4AA9" w:rsidP="00BB4A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sz w:val="32"/>
          <w:szCs w:val="32"/>
        </w:rPr>
        <w:t>行政复议机关在法定期限内不</w:t>
      </w:r>
      <w:proofErr w:type="gramStart"/>
      <w:r w:rsidRPr="00BB4AA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B4AA9">
        <w:rPr>
          <w:rFonts w:ascii="仿宋_GB2312" w:eastAsia="仿宋_GB2312" w:hint="eastAsia"/>
          <w:sz w:val="32"/>
          <w:szCs w:val="32"/>
        </w:rPr>
        <w:t>行政复议决定的，申请人可以在审理期限届满之日起15日内，依法向人民法院提起诉讼。既可以状告行政复议机关不作为，也可以对原具体行政行为提起行政诉讼。</w:t>
      </w:r>
    </w:p>
    <w:p w:rsidR="00BB4AA9" w:rsidRPr="00BB4AA9" w:rsidRDefault="00BB4AA9" w:rsidP="00BB4AA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B4AA9">
        <w:rPr>
          <w:rFonts w:ascii="仿宋_GB2312" w:eastAsia="仿宋_GB2312" w:hint="eastAsia"/>
          <w:b/>
          <w:bCs/>
          <w:sz w:val="32"/>
          <w:szCs w:val="32"/>
        </w:rPr>
        <w:t>18、被申请人不履行行政复议决定的，怎么办？</w:t>
      </w:r>
    </w:p>
    <w:p w:rsidR="00BB4AA9" w:rsidRPr="00BB4AA9" w:rsidRDefault="00BB4AA9" w:rsidP="00BB4AA9">
      <w:pPr>
        <w:ind w:firstLineChars="200" w:firstLine="640"/>
      </w:pPr>
      <w:r w:rsidRPr="00BB4AA9">
        <w:rPr>
          <w:rFonts w:ascii="仿宋_GB2312" w:eastAsia="仿宋_GB2312" w:hint="eastAsia"/>
          <w:sz w:val="32"/>
          <w:szCs w:val="32"/>
        </w:rPr>
        <w:t>被申请人不履行或无正当理由拖延履行政复议决定的，申请人可以向行政复议机关或监察、人事部门反映，由有关行政机关依法进行处理。</w:t>
      </w:r>
    </w:p>
    <w:p w:rsidR="00930A94" w:rsidRPr="00BB4AA9" w:rsidRDefault="00930A94" w:rsidP="00BB4AA9">
      <w:pPr>
        <w:ind w:firstLineChars="200" w:firstLine="420"/>
      </w:pPr>
    </w:p>
    <w:sectPr w:rsidR="00930A94" w:rsidRPr="00BB4AA9" w:rsidSect="000B60C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9F" w:rsidRDefault="009A389F" w:rsidP="00BB4AA9">
      <w:r>
        <w:separator/>
      </w:r>
    </w:p>
  </w:endnote>
  <w:endnote w:type="continuationSeparator" w:id="0">
    <w:p w:rsidR="009A389F" w:rsidRDefault="009A389F" w:rsidP="00BB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79029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BB4AA9" w:rsidRPr="00BB4AA9" w:rsidRDefault="00BB4AA9" w:rsidP="00BB4AA9">
        <w:pPr>
          <w:pStyle w:val="a4"/>
          <w:jc w:val="center"/>
          <w:rPr>
            <w:rFonts w:ascii="Batang" w:eastAsia="Batang" w:hAnsi="Batang"/>
            <w:sz w:val="28"/>
            <w:szCs w:val="28"/>
          </w:rPr>
        </w:pPr>
        <w:r w:rsidRPr="00BB4AA9">
          <w:rPr>
            <w:rFonts w:ascii="Batang" w:eastAsia="Batang" w:hAnsi="Batang" w:hint="eastAsia"/>
            <w:sz w:val="28"/>
            <w:szCs w:val="28"/>
          </w:rPr>
          <w:t>—</w:t>
        </w:r>
        <w:r w:rsidRPr="00BB4AA9">
          <w:rPr>
            <w:rFonts w:ascii="Batang" w:eastAsia="Batang" w:hAnsi="Batang"/>
            <w:sz w:val="28"/>
            <w:szCs w:val="28"/>
          </w:rPr>
          <w:fldChar w:fldCharType="begin"/>
        </w:r>
        <w:r w:rsidRPr="00BB4AA9">
          <w:rPr>
            <w:rFonts w:ascii="Batang" w:eastAsia="Batang" w:hAnsi="Batang"/>
            <w:sz w:val="28"/>
            <w:szCs w:val="28"/>
          </w:rPr>
          <w:instrText>PAGE   \* MERGEFORMAT</w:instrText>
        </w:r>
        <w:r w:rsidRPr="00BB4AA9">
          <w:rPr>
            <w:rFonts w:ascii="Batang" w:eastAsia="Batang" w:hAnsi="Batang"/>
            <w:sz w:val="28"/>
            <w:szCs w:val="28"/>
          </w:rPr>
          <w:fldChar w:fldCharType="separate"/>
        </w:r>
        <w:r w:rsidRPr="00BB4AA9">
          <w:rPr>
            <w:rFonts w:ascii="Batang" w:eastAsia="Batang" w:hAnsi="Batang"/>
            <w:noProof/>
            <w:sz w:val="28"/>
            <w:szCs w:val="28"/>
            <w:lang w:val="zh-CN"/>
          </w:rPr>
          <w:t>1</w:t>
        </w:r>
        <w:r w:rsidRPr="00BB4AA9">
          <w:rPr>
            <w:rFonts w:ascii="Batang" w:eastAsia="Batang" w:hAnsi="Batang"/>
            <w:sz w:val="28"/>
            <w:szCs w:val="28"/>
          </w:rPr>
          <w:fldChar w:fldCharType="end"/>
        </w:r>
        <w:r w:rsidRPr="00BB4AA9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9F" w:rsidRDefault="009A389F" w:rsidP="00BB4AA9">
      <w:r>
        <w:separator/>
      </w:r>
    </w:p>
  </w:footnote>
  <w:footnote w:type="continuationSeparator" w:id="0">
    <w:p w:rsidR="009A389F" w:rsidRDefault="009A389F" w:rsidP="00BB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C"/>
    <w:rsid w:val="000B60C3"/>
    <w:rsid w:val="0079386C"/>
    <w:rsid w:val="00930A94"/>
    <w:rsid w:val="009A389F"/>
    <w:rsid w:val="00B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滕明洋</dc:creator>
  <cp:keywords/>
  <dc:description/>
  <cp:lastModifiedBy>滕明洋</cp:lastModifiedBy>
  <cp:revision>2</cp:revision>
  <dcterms:created xsi:type="dcterms:W3CDTF">2019-11-06T07:48:00Z</dcterms:created>
  <dcterms:modified xsi:type="dcterms:W3CDTF">2019-11-06T07:52:00Z</dcterms:modified>
</cp:coreProperties>
</file>